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B573" w14:textId="77777777" w:rsidR="00C53241" w:rsidRDefault="00C53241" w:rsidP="00C53241">
      <w:pPr>
        <w:pStyle w:val="BodyText"/>
        <w:spacing w:line="276" w:lineRule="auto"/>
        <w:jc w:val="both"/>
        <w:rPr>
          <w:rFonts w:ascii="Gill Sans MT" w:hAnsi="Gill Sans MT" w:cs="Tahoma"/>
          <w:b/>
          <w:color w:val="006B2F"/>
          <w:sz w:val="32"/>
          <w:szCs w:val="32"/>
        </w:rPr>
      </w:pPr>
      <w:bookmarkStart w:id="0" w:name="_GoBack"/>
      <w:bookmarkEnd w:id="0"/>
    </w:p>
    <w:p w14:paraId="2FE5F1E4" w14:textId="77777777" w:rsidR="00C53241" w:rsidRPr="008F067E" w:rsidRDefault="00C53241" w:rsidP="00C53241">
      <w:pPr>
        <w:pStyle w:val="BodyText"/>
        <w:spacing w:line="276" w:lineRule="auto"/>
        <w:ind w:right="430"/>
        <w:jc w:val="center"/>
        <w:rPr>
          <w:rFonts w:ascii="Gill Sans MT" w:hAnsi="Gill Sans MT" w:cs="Tahoma"/>
          <w:b/>
          <w:color w:val="006B2F"/>
          <w:sz w:val="32"/>
          <w:szCs w:val="32"/>
        </w:rPr>
      </w:pPr>
      <w:r w:rsidRPr="008F067E">
        <w:rPr>
          <w:rFonts w:ascii="Gill Sans MT" w:hAnsi="Gill Sans MT" w:cs="Tahoma"/>
          <w:b/>
          <w:color w:val="006B2F"/>
          <w:sz w:val="32"/>
          <w:szCs w:val="32"/>
        </w:rPr>
        <w:t>Rapid Review Flowchart*</w:t>
      </w:r>
    </w:p>
    <w:p w14:paraId="237D8E13" w14:textId="680EA5DF" w:rsidR="00C53241" w:rsidRPr="008F067E" w:rsidRDefault="00C53241" w:rsidP="00C53241">
      <w:pPr>
        <w:ind w:right="430"/>
        <w:jc w:val="center"/>
        <w:rPr>
          <w:rFonts w:ascii="Gill Sans MT" w:hAnsi="Gill Sans MT" w:cs="Tahoma"/>
          <w:b/>
          <w:color w:val="006B2F"/>
          <w:sz w:val="28"/>
        </w:rPr>
      </w:pPr>
      <w:r w:rsidRPr="008F067E">
        <w:rPr>
          <w:rFonts w:ascii="Gill Sans MT" w:hAnsi="Gill Sans MT" w:cs="Tahoma"/>
          <w:b/>
          <w:noProof/>
          <w:color w:val="006B2F"/>
          <w:sz w:val="28"/>
        </w:rPr>
        <w:drawing>
          <wp:inline distT="0" distB="0" distL="0" distR="0" wp14:anchorId="12F901DA" wp14:editId="1F67B16F">
            <wp:extent cx="2400300" cy="15811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581150"/>
                    </a:xfrm>
                    <a:prstGeom prst="rect">
                      <a:avLst/>
                    </a:prstGeom>
                    <a:noFill/>
                    <a:ln>
                      <a:noFill/>
                    </a:ln>
                  </pic:spPr>
                </pic:pic>
              </a:graphicData>
            </a:graphic>
          </wp:inline>
        </w:drawing>
      </w:r>
    </w:p>
    <w:p w14:paraId="22C02501" w14:textId="77777777" w:rsidR="00C53241" w:rsidRPr="008F067E" w:rsidRDefault="00C53241" w:rsidP="00C53241">
      <w:pPr>
        <w:ind w:right="430"/>
        <w:jc w:val="center"/>
        <w:rPr>
          <w:rFonts w:ascii="Gill Sans MT" w:hAnsi="Gill Sans MT" w:cs="Tahoma"/>
          <w:b/>
          <w:color w:val="006B2F"/>
          <w:sz w:val="28"/>
        </w:rPr>
      </w:pPr>
      <w:r w:rsidRPr="008F067E">
        <w:rPr>
          <w:rFonts w:ascii="Gill Sans MT" w:hAnsi="Gill Sans MT" w:cs="Tahoma"/>
          <w:b/>
          <w:color w:val="006B2F"/>
          <w:sz w:val="28"/>
        </w:rPr>
        <w:t>Rapid Review Flowchart</w:t>
      </w:r>
    </w:p>
    <w:p w14:paraId="40585062" w14:textId="77777777" w:rsidR="00C53241" w:rsidRPr="008F067E" w:rsidRDefault="00C53241" w:rsidP="00C53241">
      <w:pPr>
        <w:ind w:right="430"/>
        <w:jc w:val="center"/>
        <w:rPr>
          <w:rFonts w:ascii="Gill Sans MT" w:hAnsi="Gill Sans MT" w:cs="Tahoma"/>
          <w:b/>
          <w:color w:val="006B2F"/>
          <w:sz w:val="28"/>
        </w:rPr>
      </w:pPr>
    </w:p>
    <w:p w14:paraId="1710A236" w14:textId="77777777" w:rsidR="00C53241" w:rsidRPr="008F067E" w:rsidRDefault="00C53241" w:rsidP="00C53241">
      <w:pPr>
        <w:spacing w:line="256" w:lineRule="auto"/>
        <w:ind w:right="430"/>
        <w:jc w:val="both"/>
        <w:rPr>
          <w:rFonts w:ascii="Gill Sans MT" w:hAnsi="Gill Sans MT" w:cs="Tahoma"/>
          <w:color w:val="006B2F"/>
        </w:rPr>
      </w:pPr>
      <w:r w:rsidRPr="008F067E">
        <w:rPr>
          <w:rFonts w:ascii="Gill Sans MT" w:hAnsi="Gill Sans MT" w:cs="Tahoma"/>
          <w:color w:val="006B2F"/>
          <w:sz w:val="24"/>
        </w:rPr>
        <w:t>Any agency can notify the SB of a serious</w:t>
      </w:r>
      <w:r w:rsidRPr="008F067E">
        <w:rPr>
          <w:rFonts w:ascii="Gill Sans MT" w:hAnsi="Gill Sans MT" w:cs="Tahoma"/>
          <w:color w:val="006B2F"/>
          <w:spacing w:val="-13"/>
          <w:sz w:val="24"/>
        </w:rPr>
        <w:t xml:space="preserve"> </w:t>
      </w:r>
      <w:r w:rsidRPr="008F067E">
        <w:rPr>
          <w:rFonts w:ascii="Gill Sans MT" w:hAnsi="Gill Sans MT" w:cs="Tahoma"/>
          <w:color w:val="006B2F"/>
          <w:sz w:val="24"/>
        </w:rPr>
        <w:t>incident</w:t>
      </w:r>
      <w:r w:rsidRPr="008F067E">
        <w:rPr>
          <w:rFonts w:ascii="Gill Sans MT" w:hAnsi="Gill Sans MT" w:cs="Tahoma"/>
          <w:color w:val="006B2F"/>
          <w:spacing w:val="-15"/>
          <w:sz w:val="24"/>
        </w:rPr>
        <w:t xml:space="preserve"> </w:t>
      </w:r>
      <w:r w:rsidRPr="008F067E">
        <w:rPr>
          <w:rFonts w:ascii="Gill Sans MT" w:hAnsi="Gill Sans MT" w:cs="Tahoma"/>
          <w:color w:val="006B2F"/>
          <w:sz w:val="24"/>
          <w:szCs w:val="24"/>
        </w:rPr>
        <w:t>by</w:t>
      </w:r>
      <w:r w:rsidRPr="008F067E">
        <w:rPr>
          <w:rFonts w:ascii="Gill Sans MT" w:hAnsi="Gill Sans MT" w:cs="Tahoma"/>
          <w:color w:val="006B2F"/>
          <w:sz w:val="24"/>
        </w:rPr>
        <w:t xml:space="preserve"> using the Case Review Referral Form SB1. Notifications should be made promptly and given priority over an organisation’s internal processes. </w:t>
      </w:r>
    </w:p>
    <w:p w14:paraId="742BA697" w14:textId="77777777" w:rsidR="00C53241" w:rsidRPr="008F067E" w:rsidRDefault="00C53241" w:rsidP="00C53241">
      <w:pPr>
        <w:spacing w:line="256" w:lineRule="auto"/>
        <w:ind w:right="430"/>
        <w:rPr>
          <w:rFonts w:ascii="Gill Sans MT" w:hAnsi="Gill Sans MT" w:cs="Tahoma"/>
          <w:color w:val="006B2F"/>
          <w:sz w:val="24"/>
          <w:szCs w:val="24"/>
        </w:rPr>
      </w:pPr>
      <w:r w:rsidRPr="008F067E">
        <w:rPr>
          <w:rFonts w:ascii="Gill Sans MT" w:hAnsi="Gill Sans MT" w:cs="Tahoma"/>
          <w:color w:val="006B2F"/>
          <w:sz w:val="24"/>
          <w:szCs w:val="24"/>
        </w:rPr>
        <w:t>Following notification of a Rapid Review the following process should be followed.</w:t>
      </w:r>
    </w:p>
    <w:p w14:paraId="49A2D8CE" w14:textId="77777777" w:rsidR="00C53241" w:rsidRPr="008F067E" w:rsidRDefault="00C53241" w:rsidP="00C53241">
      <w:pPr>
        <w:spacing w:line="256" w:lineRule="auto"/>
        <w:ind w:right="430"/>
        <w:rPr>
          <w:rFonts w:ascii="Gill Sans MT" w:hAnsi="Gill Sans MT" w:cs="Tahoma"/>
          <w:b/>
          <w:color w:val="006B2F"/>
          <w:sz w:val="21"/>
        </w:rPr>
      </w:pPr>
    </w:p>
    <w:tbl>
      <w:tblPr>
        <w:tblW w:w="0" w:type="auto"/>
        <w:tblBorders>
          <w:top w:val="single" w:sz="4" w:space="0" w:color="B2D233"/>
          <w:left w:val="single" w:sz="4" w:space="0" w:color="B2D233"/>
          <w:bottom w:val="single" w:sz="4" w:space="0" w:color="B2D233"/>
          <w:right w:val="single" w:sz="4" w:space="0" w:color="B2D233"/>
          <w:insideH w:val="single" w:sz="4" w:space="0" w:color="B2D233"/>
          <w:insideV w:val="single" w:sz="4" w:space="0" w:color="B2D233"/>
        </w:tblBorders>
        <w:tblLook w:val="04A0" w:firstRow="1" w:lastRow="0" w:firstColumn="1" w:lastColumn="0" w:noHBand="0" w:noVBand="1"/>
      </w:tblPr>
      <w:tblGrid>
        <w:gridCol w:w="2122"/>
        <w:gridCol w:w="7371"/>
      </w:tblGrid>
      <w:tr w:rsidR="00C53241" w:rsidRPr="008F067E" w14:paraId="650DEEA3" w14:textId="77777777" w:rsidTr="005B0073">
        <w:trPr>
          <w:trHeight w:val="2903"/>
        </w:trPr>
        <w:tc>
          <w:tcPr>
            <w:tcW w:w="2122" w:type="dxa"/>
            <w:shd w:val="clear" w:color="auto" w:fill="B2D233"/>
            <w:vAlign w:val="center"/>
          </w:tcPr>
          <w:p w14:paraId="07642AAF" w14:textId="77777777" w:rsidR="00C53241" w:rsidRPr="008F067E" w:rsidRDefault="00C53241" w:rsidP="005B0073">
            <w:pPr>
              <w:ind w:right="430"/>
              <w:jc w:val="center"/>
              <w:rPr>
                <w:rFonts w:ascii="Gill Sans MT" w:hAnsi="Gill Sans MT" w:cs="Tahoma"/>
                <w:color w:val="006B2F"/>
                <w:sz w:val="24"/>
                <w:szCs w:val="24"/>
              </w:rPr>
            </w:pPr>
            <w:r w:rsidRPr="008F067E">
              <w:rPr>
                <w:rFonts w:ascii="Gill Sans MT" w:hAnsi="Gill Sans MT" w:cs="Tahoma"/>
                <w:color w:val="006B2F"/>
                <w:sz w:val="24"/>
                <w:szCs w:val="24"/>
              </w:rPr>
              <w:t>Within 2 working days of referral</w:t>
            </w:r>
          </w:p>
        </w:tc>
        <w:tc>
          <w:tcPr>
            <w:tcW w:w="7371" w:type="dxa"/>
            <w:tcBorders>
              <w:top w:val="single" w:sz="8" w:space="0" w:color="B2D233"/>
              <w:bottom w:val="single" w:sz="8" w:space="0" w:color="B2D233"/>
              <w:right w:val="single" w:sz="8" w:space="0" w:color="B2D233"/>
            </w:tcBorders>
            <w:shd w:val="clear" w:color="auto" w:fill="auto"/>
            <w:vAlign w:val="center"/>
          </w:tcPr>
          <w:p w14:paraId="28C638DE" w14:textId="77777777" w:rsidR="00C53241" w:rsidRPr="008F067E" w:rsidRDefault="00C53241" w:rsidP="005B0073">
            <w:pPr>
              <w:ind w:right="70"/>
              <w:rPr>
                <w:rFonts w:ascii="Gill Sans MT" w:hAnsi="Gill Sans MT" w:cs="Tahoma"/>
                <w:color w:val="006B2F"/>
              </w:rPr>
            </w:pPr>
            <w:r w:rsidRPr="008F067E">
              <w:rPr>
                <w:rFonts w:ascii="Gill Sans MT" w:hAnsi="Gill Sans MT" w:cs="Tahoma"/>
                <w:color w:val="006B2F"/>
              </w:rPr>
              <w:t>Safeguarding Partners consider initial information (Form SB1).  Cases may result in:</w:t>
            </w:r>
          </w:p>
          <w:p w14:paraId="57806674" w14:textId="77777777" w:rsidR="00C53241" w:rsidRPr="008F067E" w:rsidRDefault="00C53241" w:rsidP="00C53241">
            <w:pPr>
              <w:numPr>
                <w:ilvl w:val="0"/>
                <w:numId w:val="4"/>
              </w:numPr>
              <w:ind w:right="70"/>
              <w:rPr>
                <w:rFonts w:ascii="Gill Sans MT" w:hAnsi="Gill Sans MT" w:cs="Tahoma"/>
                <w:color w:val="006B2F"/>
              </w:rPr>
            </w:pPr>
            <w:r w:rsidRPr="008F067E">
              <w:rPr>
                <w:rFonts w:ascii="Gill Sans MT" w:hAnsi="Gill Sans MT" w:cs="Tahoma"/>
                <w:color w:val="006B2F"/>
              </w:rPr>
              <w:t>no further action (</w:t>
            </w:r>
            <w:proofErr w:type="spellStart"/>
            <w:r w:rsidRPr="008F067E">
              <w:rPr>
                <w:rFonts w:ascii="Gill Sans MT" w:hAnsi="Gill Sans MT" w:cs="Tahoma"/>
                <w:color w:val="006B2F"/>
              </w:rPr>
              <w:t>NFA</w:t>
            </w:r>
            <w:proofErr w:type="spellEnd"/>
            <w:r w:rsidRPr="008F067E">
              <w:rPr>
                <w:rFonts w:ascii="Gill Sans MT" w:hAnsi="Gill Sans MT" w:cs="Tahoma"/>
                <w:color w:val="006B2F"/>
              </w:rPr>
              <w:t xml:space="preserve">), </w:t>
            </w:r>
          </w:p>
          <w:p w14:paraId="73E746C1" w14:textId="77777777" w:rsidR="00C53241" w:rsidRPr="008F067E" w:rsidRDefault="00C53241" w:rsidP="00C53241">
            <w:pPr>
              <w:numPr>
                <w:ilvl w:val="0"/>
                <w:numId w:val="4"/>
              </w:numPr>
              <w:ind w:right="70"/>
              <w:rPr>
                <w:rFonts w:ascii="Gill Sans MT" w:hAnsi="Gill Sans MT" w:cs="Tahoma"/>
                <w:color w:val="006B2F"/>
              </w:rPr>
            </w:pPr>
            <w:r w:rsidRPr="008F067E">
              <w:rPr>
                <w:rFonts w:ascii="Gill Sans MT" w:hAnsi="Gill Sans MT" w:cs="Tahoma"/>
                <w:color w:val="006B2F"/>
              </w:rPr>
              <w:t>a single agency review to identify learning but that may involve another agency/</w:t>
            </w:r>
            <w:proofErr w:type="spellStart"/>
            <w:r w:rsidRPr="008F067E">
              <w:rPr>
                <w:rFonts w:ascii="Gill Sans MT" w:hAnsi="Gill Sans MT" w:cs="Tahoma"/>
                <w:color w:val="006B2F"/>
              </w:rPr>
              <w:t>ies</w:t>
            </w:r>
            <w:proofErr w:type="spellEnd"/>
            <w:r w:rsidRPr="008F067E">
              <w:rPr>
                <w:rFonts w:ascii="Gill Sans MT" w:hAnsi="Gill Sans MT" w:cs="Tahoma"/>
                <w:color w:val="006B2F"/>
              </w:rPr>
              <w:t xml:space="preserve"> where appropriate.</w:t>
            </w:r>
          </w:p>
          <w:p w14:paraId="0A92596C" w14:textId="77777777" w:rsidR="00C53241" w:rsidRPr="008F067E" w:rsidRDefault="00C53241" w:rsidP="00C53241">
            <w:pPr>
              <w:numPr>
                <w:ilvl w:val="0"/>
                <w:numId w:val="4"/>
              </w:numPr>
              <w:ind w:right="70"/>
              <w:rPr>
                <w:rFonts w:ascii="Gill Sans MT" w:hAnsi="Gill Sans MT" w:cs="Tahoma"/>
                <w:color w:val="006B2F"/>
              </w:rPr>
            </w:pPr>
            <w:r w:rsidRPr="008F067E">
              <w:rPr>
                <w:rFonts w:ascii="Gill Sans MT" w:hAnsi="Gill Sans MT" w:cs="Tahoma"/>
                <w:color w:val="006B2F"/>
              </w:rPr>
              <w:t>a rapid review is required, information should be gathered and:</w:t>
            </w:r>
          </w:p>
          <w:p w14:paraId="2B7D28BA" w14:textId="77777777" w:rsidR="00C53241" w:rsidRPr="008F067E" w:rsidRDefault="00C53241" w:rsidP="00C53241">
            <w:pPr>
              <w:numPr>
                <w:ilvl w:val="1"/>
                <w:numId w:val="4"/>
              </w:numPr>
              <w:ind w:right="70"/>
              <w:rPr>
                <w:rFonts w:ascii="Gill Sans MT" w:hAnsi="Gill Sans MT" w:cs="Tahoma"/>
                <w:color w:val="006B2F"/>
              </w:rPr>
            </w:pPr>
            <w:r w:rsidRPr="008F067E">
              <w:rPr>
                <w:rFonts w:ascii="Gill Sans MT" w:hAnsi="Gill Sans MT" w:cs="Tahoma"/>
                <w:color w:val="006B2F"/>
              </w:rPr>
              <w:t xml:space="preserve">outline details (SB2) should be sent to relevant agencies with the requirement that they provide additional </w:t>
            </w:r>
            <w:proofErr w:type="gramStart"/>
            <w:r w:rsidRPr="008F067E">
              <w:rPr>
                <w:rFonts w:ascii="Gill Sans MT" w:hAnsi="Gill Sans MT" w:cs="Tahoma"/>
                <w:color w:val="006B2F"/>
              </w:rPr>
              <w:t>information</w:t>
            </w:r>
            <w:proofErr w:type="gramEnd"/>
          </w:p>
          <w:p w14:paraId="7B902CA7" w14:textId="77777777" w:rsidR="00C53241" w:rsidRPr="008F067E" w:rsidRDefault="00C53241" w:rsidP="00C53241">
            <w:pPr>
              <w:numPr>
                <w:ilvl w:val="1"/>
                <w:numId w:val="4"/>
              </w:numPr>
              <w:ind w:right="70"/>
              <w:rPr>
                <w:rFonts w:ascii="Gill Sans MT" w:hAnsi="Gill Sans MT" w:cs="Tahoma"/>
                <w:color w:val="006B2F"/>
              </w:rPr>
            </w:pPr>
            <w:r w:rsidRPr="008F067E">
              <w:rPr>
                <w:rFonts w:ascii="Gill Sans MT" w:hAnsi="Gill Sans MT" w:cs="Tahoma"/>
                <w:color w:val="006B2F"/>
              </w:rPr>
              <w:t>a date is set for a Rapid Review Meeting</w:t>
            </w:r>
          </w:p>
        </w:tc>
      </w:tr>
    </w:tbl>
    <w:p w14:paraId="6288D9AD" w14:textId="3CC78B75" w:rsidR="00C53241" w:rsidRPr="008F067E" w:rsidRDefault="00C53241" w:rsidP="00C53241">
      <w:pPr>
        <w:ind w:right="430"/>
        <w:rPr>
          <w:rFonts w:ascii="Gill Sans MT" w:hAnsi="Gill Sans MT" w:cs="Tahoma"/>
          <w:b/>
          <w:color w:val="006B2F"/>
        </w:rPr>
      </w:pPr>
      <w:r w:rsidRPr="008F067E">
        <w:rPr>
          <w:noProof/>
          <w:color w:val="006B2F"/>
        </w:rPr>
        <mc:AlternateContent>
          <mc:Choice Requires="wps">
            <w:drawing>
              <wp:anchor distT="0" distB="0" distL="114300" distR="114300" simplePos="0" relativeHeight="251661312" behindDoc="0" locked="0" layoutInCell="1" allowOverlap="1" wp14:anchorId="53A0794F" wp14:editId="7D0826DB">
                <wp:simplePos x="0" y="0"/>
                <wp:positionH relativeFrom="column">
                  <wp:posOffset>3171190</wp:posOffset>
                </wp:positionH>
                <wp:positionV relativeFrom="paragraph">
                  <wp:posOffset>48895</wp:posOffset>
                </wp:positionV>
                <wp:extent cx="318770" cy="415290"/>
                <wp:effectExtent l="38100" t="0" r="62230" b="60960"/>
                <wp:wrapNone/>
                <wp:docPr id="4" name="Arrow: Dow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5290"/>
                        </a:xfrm>
                        <a:prstGeom prst="downArrow">
                          <a:avLst>
                            <a:gd name="adj1" fmla="val 50000"/>
                            <a:gd name="adj2" fmla="val 32570"/>
                          </a:avLst>
                        </a:prstGeom>
                        <a:solidFill>
                          <a:srgbClr val="006B2F"/>
                        </a:solidFill>
                        <a:ln w="12700" algn="ctr">
                          <a:solidFill>
                            <a:srgbClr val="B2D233"/>
                          </a:solidFill>
                          <a:miter lim="800000"/>
                          <a:headEnd/>
                          <a:tailEnd/>
                        </a:ln>
                        <a:effectLst>
                          <a:outerShdw dist="28398" dir="3806097" algn="ctr" rotWithShape="0">
                            <a:srgbClr val="1F4D78"/>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330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249.7pt;margin-top:3.85pt;width:25.1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" fillcolor="#006b2f" strokecolor="#b2d233" strokeweight="1pt">
                <v:shadow on="t" color="#1f4d78" offset="1pt"/>
                <v:textbox style="layout-flow:vertical-ideographic"/>
              </v:shape>
            </w:pict>
          </mc:Fallback>
        </mc:AlternateContent>
      </w:r>
    </w:p>
    <w:p w14:paraId="3713A25B" w14:textId="77777777" w:rsidR="00C53241" w:rsidRPr="008F067E" w:rsidRDefault="00C53241" w:rsidP="00C53241">
      <w:pPr>
        <w:ind w:right="430"/>
        <w:rPr>
          <w:rFonts w:ascii="Gill Sans MT" w:hAnsi="Gill Sans MT" w:cs="Tahoma"/>
          <w:b/>
          <w:color w:val="006B2F"/>
        </w:rPr>
      </w:pPr>
    </w:p>
    <w:p w14:paraId="0748551A" w14:textId="77777777" w:rsidR="00C53241" w:rsidRPr="008F067E" w:rsidRDefault="00C53241" w:rsidP="00C53241">
      <w:pPr>
        <w:ind w:right="430"/>
        <w:rPr>
          <w:rFonts w:ascii="Gill Sans MT" w:hAnsi="Gill Sans MT" w:cs="Tahoma"/>
          <w:b/>
          <w:color w:val="006B2F"/>
        </w:rPr>
      </w:pPr>
    </w:p>
    <w:tbl>
      <w:tblPr>
        <w:tblW w:w="0" w:type="auto"/>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ook w:val="04A0" w:firstRow="1" w:lastRow="0" w:firstColumn="1" w:lastColumn="0" w:noHBand="0" w:noVBand="1"/>
      </w:tblPr>
      <w:tblGrid>
        <w:gridCol w:w="2117"/>
        <w:gridCol w:w="7371"/>
      </w:tblGrid>
      <w:tr w:rsidR="00C53241" w:rsidRPr="008F067E" w14:paraId="6E08798F" w14:textId="77777777" w:rsidTr="005B0073">
        <w:trPr>
          <w:trHeight w:val="1247"/>
        </w:trPr>
        <w:tc>
          <w:tcPr>
            <w:tcW w:w="2117" w:type="dxa"/>
            <w:tcBorders>
              <w:top w:val="single" w:sz="8" w:space="0" w:color="B2D233"/>
              <w:left w:val="single" w:sz="8" w:space="0" w:color="B2D233"/>
              <w:bottom w:val="single" w:sz="8" w:space="0" w:color="B2D233"/>
              <w:right w:val="single" w:sz="8" w:space="0" w:color="B2D233"/>
            </w:tcBorders>
            <w:shd w:val="clear" w:color="auto" w:fill="B2D233"/>
            <w:vAlign w:val="center"/>
          </w:tcPr>
          <w:p w14:paraId="7CF58A54" w14:textId="77777777" w:rsidR="00C53241" w:rsidRPr="008F067E" w:rsidRDefault="00C53241" w:rsidP="005B0073">
            <w:pPr>
              <w:ind w:right="430"/>
              <w:jc w:val="center"/>
              <w:rPr>
                <w:rFonts w:ascii="Gill Sans MT" w:hAnsi="Gill Sans MT" w:cs="Tahoma"/>
                <w:b/>
                <w:color w:val="006B2F"/>
                <w:sz w:val="24"/>
                <w:szCs w:val="24"/>
              </w:rPr>
            </w:pPr>
            <w:r w:rsidRPr="008F067E">
              <w:rPr>
                <w:rFonts w:ascii="Gill Sans MT" w:hAnsi="Gill Sans MT" w:cs="Tahoma"/>
                <w:color w:val="006B2F"/>
                <w:sz w:val="24"/>
                <w:szCs w:val="24"/>
              </w:rPr>
              <w:t>Within 5 working days of form SB2 being issued</w:t>
            </w:r>
          </w:p>
        </w:tc>
        <w:tc>
          <w:tcPr>
            <w:tcW w:w="7371" w:type="dxa"/>
            <w:tcBorders>
              <w:top w:val="single" w:sz="8" w:space="0" w:color="B2D233"/>
              <w:left w:val="single" w:sz="8" w:space="0" w:color="B2D233"/>
              <w:bottom w:val="single" w:sz="8" w:space="0" w:color="B2D233"/>
              <w:right w:val="single" w:sz="8" w:space="0" w:color="B2D233"/>
            </w:tcBorders>
            <w:shd w:val="clear" w:color="auto" w:fill="auto"/>
            <w:vAlign w:val="center"/>
          </w:tcPr>
          <w:p w14:paraId="72C8A815" w14:textId="77777777" w:rsidR="00C53241" w:rsidRPr="008F067E" w:rsidRDefault="00C53241" w:rsidP="005B0073">
            <w:pPr>
              <w:ind w:right="430"/>
              <w:rPr>
                <w:rFonts w:ascii="Gill Sans MT" w:hAnsi="Gill Sans MT" w:cs="Tahoma"/>
                <w:color w:val="006B2F"/>
                <w:sz w:val="8"/>
                <w:szCs w:val="8"/>
              </w:rPr>
            </w:pPr>
          </w:p>
          <w:p w14:paraId="16E5194E" w14:textId="77777777" w:rsidR="00C53241" w:rsidRPr="008F067E" w:rsidRDefault="00C53241" w:rsidP="005B0073">
            <w:pPr>
              <w:rPr>
                <w:rFonts w:ascii="Gill Sans MT" w:hAnsi="Gill Sans MT" w:cs="Tahoma"/>
                <w:color w:val="006B2F"/>
                <w:sz w:val="8"/>
                <w:szCs w:val="8"/>
              </w:rPr>
            </w:pPr>
            <w:r w:rsidRPr="008F067E">
              <w:rPr>
                <w:rFonts w:ascii="Gill Sans MT" w:hAnsi="Gill Sans MT" w:cs="Tahoma"/>
                <w:color w:val="006B2F"/>
              </w:rPr>
              <w:t xml:space="preserve">Partners respond to request for additional information. Completed forms are returned to the Business Unit and shared with those attending the Rapid Review meeting along with SB1 and any LA notification. </w:t>
            </w:r>
          </w:p>
        </w:tc>
      </w:tr>
    </w:tbl>
    <w:p w14:paraId="562C53F1" w14:textId="6632A953" w:rsidR="00C53241" w:rsidRPr="008F067E" w:rsidRDefault="00C53241" w:rsidP="00C53241">
      <w:pPr>
        <w:ind w:right="430"/>
        <w:rPr>
          <w:rFonts w:ascii="Gill Sans MT" w:hAnsi="Gill Sans MT" w:cs="Tahoma"/>
          <w:color w:val="006B2F"/>
        </w:rPr>
      </w:pPr>
      <w:r w:rsidRPr="008F067E">
        <w:rPr>
          <w:noProof/>
          <w:color w:val="006B2F"/>
        </w:rPr>
        <mc:AlternateContent>
          <mc:Choice Requires="wps">
            <w:drawing>
              <wp:anchor distT="0" distB="0" distL="114300" distR="114300" simplePos="0" relativeHeight="251659264" behindDoc="0" locked="0" layoutInCell="1" allowOverlap="1" wp14:anchorId="4E5A9EF2" wp14:editId="72168D2B">
                <wp:simplePos x="0" y="0"/>
                <wp:positionH relativeFrom="column">
                  <wp:posOffset>3202305</wp:posOffset>
                </wp:positionH>
                <wp:positionV relativeFrom="paragraph">
                  <wp:posOffset>40640</wp:posOffset>
                </wp:positionV>
                <wp:extent cx="318770" cy="415290"/>
                <wp:effectExtent l="38100" t="0" r="62230" b="60960"/>
                <wp:wrapNone/>
                <wp:docPr id="3" name="Arrow: Dow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5290"/>
                        </a:xfrm>
                        <a:prstGeom prst="downArrow">
                          <a:avLst>
                            <a:gd name="adj1" fmla="val 50000"/>
                            <a:gd name="adj2" fmla="val 32570"/>
                          </a:avLst>
                        </a:prstGeom>
                        <a:solidFill>
                          <a:srgbClr val="006B2F"/>
                        </a:solidFill>
                        <a:ln w="12700" algn="ctr">
                          <a:solidFill>
                            <a:srgbClr val="B2D233"/>
                          </a:solidFill>
                          <a:miter lim="800000"/>
                          <a:headEnd/>
                          <a:tailEnd/>
                        </a:ln>
                        <a:effectLst>
                          <a:outerShdw dist="28398" dir="3806097" algn="ctr" rotWithShape="0">
                            <a:srgbClr val="1F4D78"/>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EF35B" id="Arrow: Down 3" o:spid="_x0000_s1026" type="#_x0000_t67" style="position:absolute;margin-left:252.15pt;margin-top:3.2pt;width:25.1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" fillcolor="#006b2f" strokecolor="#b2d233" strokeweight="1pt">
                <v:shadow on="t" color="#1f4d78" offset="1pt"/>
                <v:textbox style="layout-flow:vertical-ideographic"/>
              </v:shape>
            </w:pict>
          </mc:Fallback>
        </mc:AlternateContent>
      </w:r>
    </w:p>
    <w:p w14:paraId="7D9D1B17" w14:textId="77777777" w:rsidR="00C53241" w:rsidRPr="008F067E" w:rsidRDefault="00C53241" w:rsidP="00C53241">
      <w:pPr>
        <w:ind w:right="430"/>
        <w:rPr>
          <w:rFonts w:ascii="Gill Sans MT" w:hAnsi="Gill Sans MT" w:cs="Tahoma"/>
          <w:color w:val="006B2F"/>
        </w:rPr>
      </w:pPr>
    </w:p>
    <w:p w14:paraId="0F2539B2" w14:textId="77777777" w:rsidR="00C53241" w:rsidRPr="008F067E" w:rsidRDefault="00C53241" w:rsidP="00C53241">
      <w:pPr>
        <w:ind w:right="430"/>
        <w:rPr>
          <w:rFonts w:ascii="Gill Sans MT" w:hAnsi="Gill Sans MT" w:cs="Tahoma"/>
          <w:color w:val="006B2F"/>
        </w:rPr>
      </w:pPr>
    </w:p>
    <w:tbl>
      <w:tblPr>
        <w:tblW w:w="0" w:type="auto"/>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ook w:val="04A0" w:firstRow="1" w:lastRow="0" w:firstColumn="1" w:lastColumn="0" w:noHBand="0" w:noVBand="1"/>
      </w:tblPr>
      <w:tblGrid>
        <w:gridCol w:w="2117"/>
        <w:gridCol w:w="7371"/>
      </w:tblGrid>
      <w:tr w:rsidR="00C53241" w:rsidRPr="008F067E" w14:paraId="3D97B616" w14:textId="77777777" w:rsidTr="005B0073">
        <w:trPr>
          <w:trHeight w:val="3198"/>
        </w:trPr>
        <w:tc>
          <w:tcPr>
            <w:tcW w:w="2117" w:type="dxa"/>
            <w:tcBorders>
              <w:top w:val="single" w:sz="8" w:space="0" w:color="B2D233"/>
              <w:left w:val="single" w:sz="8" w:space="0" w:color="B2D233"/>
              <w:right w:val="single" w:sz="8" w:space="0" w:color="B2D233"/>
            </w:tcBorders>
            <w:shd w:val="clear" w:color="auto" w:fill="B2D233"/>
            <w:vAlign w:val="center"/>
          </w:tcPr>
          <w:p w14:paraId="22230A5A" w14:textId="77777777" w:rsidR="00C53241" w:rsidRPr="008F067E" w:rsidRDefault="00C53241" w:rsidP="005B0073">
            <w:pPr>
              <w:ind w:right="430"/>
              <w:jc w:val="center"/>
              <w:rPr>
                <w:rFonts w:ascii="Gill Sans MT" w:hAnsi="Gill Sans MT" w:cs="Tahoma"/>
                <w:color w:val="006B2F"/>
                <w:sz w:val="24"/>
                <w:szCs w:val="24"/>
              </w:rPr>
            </w:pPr>
            <w:r w:rsidRPr="008F067E">
              <w:rPr>
                <w:rFonts w:ascii="Gill Sans MT" w:hAnsi="Gill Sans MT" w:cs="Tahoma"/>
                <w:color w:val="006B2F"/>
                <w:sz w:val="24"/>
                <w:szCs w:val="24"/>
              </w:rPr>
              <w:t>Between 7 and 13 working days of initial notification</w:t>
            </w:r>
          </w:p>
        </w:tc>
        <w:tc>
          <w:tcPr>
            <w:tcW w:w="7371" w:type="dxa"/>
            <w:tcBorders>
              <w:top w:val="single" w:sz="8" w:space="0" w:color="B2D233"/>
              <w:left w:val="single" w:sz="8" w:space="0" w:color="B2D233"/>
              <w:bottom w:val="single" w:sz="8" w:space="0" w:color="B2D233"/>
              <w:right w:val="single" w:sz="8" w:space="0" w:color="B2D233"/>
            </w:tcBorders>
            <w:shd w:val="clear" w:color="auto" w:fill="auto"/>
            <w:vAlign w:val="center"/>
          </w:tcPr>
          <w:p w14:paraId="3550EA60" w14:textId="77777777" w:rsidR="00C53241" w:rsidRPr="008F067E" w:rsidRDefault="00C53241" w:rsidP="005B0073">
            <w:pPr>
              <w:ind w:right="430"/>
              <w:rPr>
                <w:rFonts w:ascii="Gill Sans MT" w:hAnsi="Gill Sans MT" w:cs="Tahoma"/>
                <w:color w:val="006B2F"/>
                <w:sz w:val="8"/>
                <w:szCs w:val="8"/>
              </w:rPr>
            </w:pPr>
          </w:p>
          <w:p w14:paraId="7C3C29E1" w14:textId="77777777" w:rsidR="00C53241" w:rsidRPr="008F067E" w:rsidRDefault="00C53241" w:rsidP="005B0073">
            <w:pPr>
              <w:ind w:right="70"/>
              <w:rPr>
                <w:rFonts w:ascii="Gill Sans MT" w:hAnsi="Gill Sans MT" w:cs="Tahoma"/>
                <w:color w:val="006B2F"/>
              </w:rPr>
            </w:pPr>
            <w:r w:rsidRPr="008F067E">
              <w:rPr>
                <w:rFonts w:ascii="Gill Sans MT" w:hAnsi="Gill Sans MT" w:cs="Tahoma"/>
                <w:color w:val="006B2F"/>
              </w:rPr>
              <w:t>The Rapid Review</w:t>
            </w:r>
            <w:r w:rsidRPr="008F067E">
              <w:rPr>
                <w:rFonts w:ascii="Gill Sans MT" w:hAnsi="Gill Sans MT" w:cs="Tahoma"/>
                <w:b/>
                <w:color w:val="006B2F"/>
              </w:rPr>
              <w:t xml:space="preserve"> </w:t>
            </w:r>
            <w:r w:rsidRPr="008F067E">
              <w:rPr>
                <w:rFonts w:ascii="Gill Sans MT" w:hAnsi="Gill Sans MT" w:cs="Tahoma"/>
                <w:color w:val="006B2F"/>
              </w:rPr>
              <w:t>meeting is convened, with the authors of SB2 in order to:</w:t>
            </w:r>
          </w:p>
          <w:p w14:paraId="2B1FA81B" w14:textId="77777777" w:rsidR="00C53241" w:rsidRPr="008F067E" w:rsidRDefault="00C53241" w:rsidP="005B0073">
            <w:pPr>
              <w:tabs>
                <w:tab w:val="left" w:pos="1185"/>
              </w:tabs>
              <w:ind w:right="70"/>
              <w:rPr>
                <w:rFonts w:ascii="Gill Sans MT" w:hAnsi="Gill Sans MT" w:cs="Tahoma"/>
                <w:color w:val="006B2F"/>
                <w:sz w:val="8"/>
              </w:rPr>
            </w:pPr>
            <w:r w:rsidRPr="008F067E">
              <w:rPr>
                <w:rFonts w:ascii="Gill Sans MT" w:hAnsi="Gill Sans MT" w:cs="Tahoma"/>
                <w:color w:val="006B2F"/>
              </w:rPr>
              <w:tab/>
            </w:r>
          </w:p>
          <w:p w14:paraId="7880E7F3" w14:textId="77777777" w:rsidR="00C53241" w:rsidRPr="008F067E" w:rsidRDefault="00C53241" w:rsidP="00C53241">
            <w:pPr>
              <w:numPr>
                <w:ilvl w:val="0"/>
                <w:numId w:val="1"/>
              </w:numPr>
              <w:ind w:right="70"/>
              <w:rPr>
                <w:rFonts w:ascii="Gill Sans MT" w:hAnsi="Gill Sans MT" w:cs="Tahoma"/>
                <w:color w:val="006B2F"/>
              </w:rPr>
            </w:pPr>
            <w:r w:rsidRPr="008F067E">
              <w:rPr>
                <w:rFonts w:ascii="Gill Sans MT" w:hAnsi="Gill Sans MT" w:cs="Tahoma"/>
                <w:color w:val="006B2F"/>
              </w:rPr>
              <w:t>review the facts about the case presented in the</w:t>
            </w:r>
            <w:r w:rsidRPr="008F067E">
              <w:rPr>
                <w:rFonts w:ascii="Gill Sans MT" w:hAnsi="Gill Sans MT" w:cs="Tahoma"/>
                <w:color w:val="006B2F"/>
                <w:spacing w:val="-12"/>
              </w:rPr>
              <w:t xml:space="preserve"> </w:t>
            </w:r>
            <w:proofErr w:type="gramStart"/>
            <w:r w:rsidRPr="008F067E">
              <w:rPr>
                <w:rFonts w:ascii="Gill Sans MT" w:hAnsi="Gill Sans MT" w:cs="Tahoma"/>
                <w:color w:val="006B2F"/>
              </w:rPr>
              <w:t>documentation</w:t>
            </w:r>
            <w:proofErr w:type="gramEnd"/>
          </w:p>
          <w:p w14:paraId="044F54CF" w14:textId="77777777" w:rsidR="00C53241" w:rsidRPr="008F067E" w:rsidRDefault="00C53241" w:rsidP="00C53241">
            <w:pPr>
              <w:numPr>
                <w:ilvl w:val="0"/>
                <w:numId w:val="1"/>
              </w:numPr>
              <w:ind w:right="70"/>
              <w:rPr>
                <w:rFonts w:ascii="Gill Sans MT" w:hAnsi="Gill Sans MT" w:cs="Tahoma"/>
                <w:color w:val="006B2F"/>
              </w:rPr>
            </w:pPr>
            <w:r w:rsidRPr="008F067E">
              <w:rPr>
                <w:rFonts w:ascii="Gill Sans MT" w:hAnsi="Gill Sans MT" w:cs="Tahoma"/>
                <w:color w:val="006B2F"/>
              </w:rPr>
              <w:t>agree any immediate</w:t>
            </w:r>
            <w:r w:rsidRPr="008F067E">
              <w:rPr>
                <w:rFonts w:ascii="Gill Sans MT" w:hAnsi="Gill Sans MT" w:cs="Tahoma"/>
                <w:color w:val="006B2F"/>
                <w:spacing w:val="-5"/>
              </w:rPr>
              <w:t xml:space="preserve"> </w:t>
            </w:r>
            <w:proofErr w:type="gramStart"/>
            <w:r w:rsidRPr="008F067E">
              <w:rPr>
                <w:rFonts w:ascii="Gill Sans MT" w:hAnsi="Gill Sans MT" w:cs="Tahoma"/>
                <w:color w:val="006B2F"/>
              </w:rPr>
              <w:t>action</w:t>
            </w:r>
            <w:proofErr w:type="gramEnd"/>
          </w:p>
          <w:p w14:paraId="727542AB" w14:textId="77777777" w:rsidR="00C53241" w:rsidRPr="008F067E" w:rsidRDefault="00C53241" w:rsidP="005B0073">
            <w:pPr>
              <w:ind w:left="360" w:right="70"/>
              <w:rPr>
                <w:rFonts w:ascii="Gill Sans MT" w:hAnsi="Gill Sans MT" w:cs="Tahoma"/>
                <w:color w:val="006B2F"/>
              </w:rPr>
            </w:pPr>
          </w:p>
          <w:p w14:paraId="178B802D" w14:textId="77777777" w:rsidR="00C53241" w:rsidRPr="008F067E" w:rsidRDefault="00C53241" w:rsidP="005B0073">
            <w:pPr>
              <w:ind w:right="70"/>
              <w:rPr>
                <w:rFonts w:ascii="Gill Sans MT" w:hAnsi="Gill Sans MT" w:cs="Tahoma"/>
                <w:color w:val="006B2F"/>
              </w:rPr>
            </w:pPr>
            <w:r w:rsidRPr="008F067E">
              <w:rPr>
                <w:rFonts w:ascii="Gill Sans MT" w:hAnsi="Gill Sans MT" w:cs="Tahoma"/>
                <w:color w:val="006B2F"/>
              </w:rPr>
              <w:t>The statutory partners will then:</w:t>
            </w:r>
          </w:p>
          <w:p w14:paraId="5DC1011B" w14:textId="77777777" w:rsidR="00C53241" w:rsidRPr="008F067E" w:rsidRDefault="00C53241" w:rsidP="00C53241">
            <w:pPr>
              <w:numPr>
                <w:ilvl w:val="0"/>
                <w:numId w:val="1"/>
              </w:numPr>
              <w:ind w:right="70"/>
              <w:rPr>
                <w:rFonts w:ascii="Gill Sans MT" w:hAnsi="Gill Sans MT" w:cs="Tahoma"/>
                <w:color w:val="006B2F"/>
              </w:rPr>
            </w:pPr>
            <w:r w:rsidRPr="008F067E">
              <w:rPr>
                <w:rFonts w:ascii="Gill Sans MT" w:hAnsi="Gill Sans MT" w:cs="Tahoma"/>
                <w:color w:val="006B2F"/>
              </w:rPr>
              <w:t xml:space="preserve">consider the case against the criteria for a SAR/LCSPR or LLR/Discretionary </w:t>
            </w:r>
            <w:proofErr w:type="gramStart"/>
            <w:r w:rsidRPr="008F067E">
              <w:rPr>
                <w:rFonts w:ascii="Gill Sans MT" w:hAnsi="Gill Sans MT" w:cs="Tahoma"/>
                <w:color w:val="006B2F"/>
              </w:rPr>
              <w:t>review</w:t>
            </w:r>
            <w:proofErr w:type="gramEnd"/>
            <w:r w:rsidRPr="008F067E">
              <w:rPr>
                <w:rFonts w:ascii="Gill Sans MT" w:hAnsi="Gill Sans MT" w:cs="Tahoma"/>
                <w:color w:val="006B2F"/>
              </w:rPr>
              <w:t xml:space="preserve"> </w:t>
            </w:r>
          </w:p>
          <w:p w14:paraId="505462F1" w14:textId="77777777" w:rsidR="00C53241" w:rsidRPr="008F067E" w:rsidRDefault="00C53241" w:rsidP="00C53241">
            <w:pPr>
              <w:numPr>
                <w:ilvl w:val="0"/>
                <w:numId w:val="1"/>
              </w:numPr>
              <w:ind w:right="70"/>
              <w:rPr>
                <w:rFonts w:ascii="Gill Sans MT" w:hAnsi="Gill Sans MT" w:cs="Tahoma"/>
                <w:color w:val="006B2F"/>
              </w:rPr>
            </w:pPr>
            <w:r w:rsidRPr="008F067E">
              <w:rPr>
                <w:rFonts w:ascii="Gill Sans MT" w:hAnsi="Gill Sans MT" w:cs="Tahoma"/>
                <w:color w:val="006B2F"/>
              </w:rPr>
              <w:t xml:space="preserve">decide whether a single-agency practice review or other learning review should take </w:t>
            </w:r>
            <w:proofErr w:type="gramStart"/>
            <w:r w:rsidRPr="008F067E">
              <w:rPr>
                <w:rFonts w:ascii="Gill Sans MT" w:hAnsi="Gill Sans MT" w:cs="Tahoma"/>
                <w:color w:val="006B2F"/>
              </w:rPr>
              <w:t>place</w:t>
            </w:r>
            <w:proofErr w:type="gramEnd"/>
          </w:p>
          <w:p w14:paraId="5064943D" w14:textId="77777777" w:rsidR="00C53241" w:rsidRPr="008F067E" w:rsidRDefault="00C53241" w:rsidP="00C53241">
            <w:pPr>
              <w:numPr>
                <w:ilvl w:val="0"/>
                <w:numId w:val="1"/>
              </w:numPr>
              <w:ind w:right="70"/>
              <w:rPr>
                <w:rFonts w:ascii="Gill Sans MT" w:hAnsi="Gill Sans MT" w:cs="Tahoma"/>
                <w:color w:val="006B2F"/>
              </w:rPr>
            </w:pPr>
            <w:r w:rsidRPr="008F067E">
              <w:rPr>
                <w:rFonts w:ascii="Gill Sans MT" w:hAnsi="Gill Sans MT" w:cs="Tahoma"/>
                <w:color w:val="006B2F"/>
              </w:rPr>
              <w:t>complete the Rapid Review meeting template</w:t>
            </w:r>
            <w:r w:rsidRPr="008F067E">
              <w:rPr>
                <w:rFonts w:ascii="Gill Sans MT" w:hAnsi="Gill Sans MT" w:cs="Tahoma"/>
                <w:i/>
                <w:color w:val="006B2F"/>
              </w:rPr>
              <w:t xml:space="preserve"> </w:t>
            </w:r>
            <w:r w:rsidRPr="008F067E">
              <w:rPr>
                <w:rFonts w:ascii="Gill Sans MT" w:hAnsi="Gill Sans MT" w:cs="Tahoma"/>
                <w:color w:val="006B2F"/>
              </w:rPr>
              <w:t>and record their decision and make any</w:t>
            </w:r>
            <w:r w:rsidRPr="008F067E">
              <w:rPr>
                <w:rFonts w:ascii="Gill Sans MT" w:hAnsi="Gill Sans MT" w:cs="Tahoma"/>
                <w:color w:val="006B2F"/>
                <w:spacing w:val="-12"/>
              </w:rPr>
              <w:t xml:space="preserve"> </w:t>
            </w:r>
            <w:r w:rsidRPr="008F067E">
              <w:rPr>
                <w:rFonts w:ascii="Gill Sans MT" w:hAnsi="Gill Sans MT" w:cs="Tahoma"/>
                <w:color w:val="006B2F"/>
              </w:rPr>
              <w:t>recommendations.</w:t>
            </w:r>
            <w:r w:rsidRPr="008F067E">
              <w:rPr>
                <w:rFonts w:ascii="Gill Sans MT" w:hAnsi="Gill Sans MT" w:cs="Tahoma"/>
                <w:color w:val="006B2F"/>
              </w:rPr>
              <w:tab/>
            </w:r>
          </w:p>
        </w:tc>
      </w:tr>
    </w:tbl>
    <w:p w14:paraId="0031403D" w14:textId="3F30CFD3" w:rsidR="00C53241" w:rsidRPr="008F067E" w:rsidRDefault="00C53241" w:rsidP="00C53241">
      <w:pPr>
        <w:ind w:right="430"/>
        <w:rPr>
          <w:rFonts w:ascii="Gill Sans MT" w:hAnsi="Gill Sans MT" w:cs="Tahoma"/>
          <w:color w:val="006B2F"/>
        </w:rPr>
      </w:pPr>
      <w:r w:rsidRPr="008F067E">
        <w:rPr>
          <w:noProof/>
          <w:color w:val="006B2F"/>
        </w:rPr>
        <w:lastRenderedPageBreak/>
        <mc:AlternateContent>
          <mc:Choice Requires="wps">
            <w:drawing>
              <wp:anchor distT="0" distB="0" distL="114300" distR="114300" simplePos="0" relativeHeight="251660288" behindDoc="0" locked="0" layoutInCell="1" allowOverlap="1" wp14:anchorId="05907C30" wp14:editId="7FAA3143">
                <wp:simplePos x="0" y="0"/>
                <wp:positionH relativeFrom="column">
                  <wp:posOffset>3271520</wp:posOffset>
                </wp:positionH>
                <wp:positionV relativeFrom="paragraph">
                  <wp:posOffset>40005</wp:posOffset>
                </wp:positionV>
                <wp:extent cx="318770" cy="415290"/>
                <wp:effectExtent l="38100" t="0" r="62230" b="60960"/>
                <wp:wrapNone/>
                <wp:docPr id="2" name="Arrow: Dow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5290"/>
                        </a:xfrm>
                        <a:prstGeom prst="downArrow">
                          <a:avLst>
                            <a:gd name="adj1" fmla="val 50000"/>
                            <a:gd name="adj2" fmla="val 32570"/>
                          </a:avLst>
                        </a:prstGeom>
                        <a:solidFill>
                          <a:srgbClr val="006B2F"/>
                        </a:solidFill>
                        <a:ln w="12700" algn="ctr">
                          <a:solidFill>
                            <a:srgbClr val="B2D233"/>
                          </a:solidFill>
                          <a:miter lim="800000"/>
                          <a:headEnd/>
                          <a:tailEnd/>
                        </a:ln>
                        <a:effectLst>
                          <a:outerShdw dist="28398" dir="3806097" algn="ctr" rotWithShape="0">
                            <a:srgbClr val="1F4D78"/>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676DF" id="Arrow: Down 2" o:spid="_x0000_s1026" type="#_x0000_t67" style="position:absolute;margin-left:257.6pt;margin-top:3.15pt;width:25.1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" fillcolor="#006b2f" strokecolor="#b2d233" strokeweight="1pt">
                <v:shadow on="t" color="#1f4d78" offset="1pt"/>
                <v:textbox style="layout-flow:vertical-ideographic"/>
              </v:shape>
            </w:pict>
          </mc:Fallback>
        </mc:AlternateContent>
      </w:r>
    </w:p>
    <w:p w14:paraId="7C7A1A41" w14:textId="77777777" w:rsidR="00C53241" w:rsidRPr="008F067E" w:rsidRDefault="00C53241" w:rsidP="00C53241">
      <w:pPr>
        <w:ind w:right="430"/>
        <w:rPr>
          <w:rFonts w:ascii="Gill Sans MT" w:hAnsi="Gill Sans MT" w:cs="Tahoma"/>
          <w:color w:val="006B2F"/>
        </w:rPr>
      </w:pPr>
    </w:p>
    <w:p w14:paraId="734E355C" w14:textId="77777777" w:rsidR="00C53241" w:rsidRPr="008F067E" w:rsidRDefault="00C53241" w:rsidP="00C53241">
      <w:pPr>
        <w:ind w:right="430"/>
        <w:rPr>
          <w:rFonts w:ascii="Gill Sans MT" w:hAnsi="Gill Sans MT" w:cs="Tahoma"/>
          <w:color w:val="006B2F"/>
        </w:rPr>
      </w:pPr>
    </w:p>
    <w:tbl>
      <w:tblPr>
        <w:tblW w:w="0" w:type="auto"/>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ook w:val="04A0" w:firstRow="1" w:lastRow="0" w:firstColumn="1" w:lastColumn="0" w:noHBand="0" w:noVBand="1"/>
      </w:tblPr>
      <w:tblGrid>
        <w:gridCol w:w="2117"/>
        <w:gridCol w:w="7371"/>
      </w:tblGrid>
      <w:tr w:rsidR="00C53241" w:rsidRPr="008F067E" w14:paraId="6880558C" w14:textId="77777777" w:rsidTr="005B0073">
        <w:trPr>
          <w:trHeight w:val="1587"/>
        </w:trPr>
        <w:tc>
          <w:tcPr>
            <w:tcW w:w="2117" w:type="dxa"/>
            <w:tcBorders>
              <w:top w:val="single" w:sz="8" w:space="0" w:color="B2D233"/>
              <w:left w:val="single" w:sz="8" w:space="0" w:color="B2D233"/>
              <w:right w:val="single" w:sz="8" w:space="0" w:color="B2D233"/>
            </w:tcBorders>
            <w:shd w:val="clear" w:color="auto" w:fill="B2D233"/>
            <w:vAlign w:val="center"/>
          </w:tcPr>
          <w:p w14:paraId="1A61FB7E" w14:textId="77777777" w:rsidR="00C53241" w:rsidRPr="008F067E" w:rsidRDefault="00C53241" w:rsidP="005B0073">
            <w:pPr>
              <w:ind w:right="430"/>
              <w:jc w:val="center"/>
              <w:rPr>
                <w:rFonts w:ascii="Gill Sans MT" w:hAnsi="Gill Sans MT" w:cs="Tahoma"/>
                <w:color w:val="006B2F"/>
                <w:sz w:val="24"/>
                <w:szCs w:val="24"/>
              </w:rPr>
            </w:pPr>
            <w:r w:rsidRPr="008F067E">
              <w:rPr>
                <w:rFonts w:ascii="Gill Sans MT" w:hAnsi="Gill Sans MT" w:cs="Tahoma"/>
                <w:color w:val="006B2F"/>
                <w:sz w:val="24"/>
                <w:szCs w:val="24"/>
              </w:rPr>
              <w:t>Within 15 working days of the initial notification</w:t>
            </w:r>
          </w:p>
        </w:tc>
        <w:tc>
          <w:tcPr>
            <w:tcW w:w="7371" w:type="dxa"/>
            <w:tcBorders>
              <w:top w:val="single" w:sz="8" w:space="0" w:color="B2D233"/>
              <w:left w:val="single" w:sz="8" w:space="0" w:color="B2D233"/>
              <w:bottom w:val="single" w:sz="8" w:space="0" w:color="B2D233"/>
              <w:right w:val="single" w:sz="8" w:space="0" w:color="B2D233"/>
            </w:tcBorders>
            <w:shd w:val="clear" w:color="auto" w:fill="auto"/>
            <w:vAlign w:val="center"/>
          </w:tcPr>
          <w:p w14:paraId="3BF9C7FF" w14:textId="77777777" w:rsidR="00C53241" w:rsidRPr="008F067E" w:rsidRDefault="00C53241" w:rsidP="005B0073">
            <w:pPr>
              <w:ind w:right="430"/>
              <w:rPr>
                <w:rFonts w:ascii="Gill Sans MT" w:hAnsi="Gill Sans MT" w:cs="Tahoma"/>
                <w:color w:val="006B2F"/>
                <w:sz w:val="8"/>
                <w:szCs w:val="8"/>
              </w:rPr>
            </w:pPr>
          </w:p>
          <w:p w14:paraId="787A5674" w14:textId="77777777" w:rsidR="00C53241" w:rsidRPr="008F067E" w:rsidRDefault="00C53241" w:rsidP="005B0073">
            <w:pPr>
              <w:ind w:right="70"/>
              <w:rPr>
                <w:rFonts w:ascii="Gill Sans MT" w:hAnsi="Gill Sans MT" w:cs="Tahoma"/>
                <w:color w:val="006B2F"/>
              </w:rPr>
            </w:pPr>
            <w:r w:rsidRPr="008F067E">
              <w:rPr>
                <w:rFonts w:ascii="Gill Sans MT" w:hAnsi="Gill Sans MT" w:cs="Tahoma"/>
                <w:color w:val="006B2F"/>
              </w:rPr>
              <w:t>Details of the Rapid Review meeting are sent to Safeguarding Partners, ICS and the Chair of Case Review subgroup informing them of any decisions reached to commission a:</w:t>
            </w:r>
          </w:p>
          <w:p w14:paraId="085391A9" w14:textId="77777777" w:rsidR="00C53241" w:rsidRPr="008F067E" w:rsidRDefault="00C53241" w:rsidP="00C53241">
            <w:pPr>
              <w:numPr>
                <w:ilvl w:val="0"/>
                <w:numId w:val="3"/>
              </w:numPr>
              <w:ind w:right="70"/>
              <w:rPr>
                <w:rFonts w:ascii="Gill Sans MT" w:hAnsi="Gill Sans MT" w:cs="Tahoma"/>
                <w:color w:val="006B2F"/>
              </w:rPr>
            </w:pPr>
            <w:r w:rsidRPr="008F067E">
              <w:rPr>
                <w:rFonts w:ascii="Gill Sans MT" w:hAnsi="Gill Sans MT" w:cs="Tahoma"/>
                <w:color w:val="006B2F"/>
              </w:rPr>
              <w:t>LLR/Discretionary review</w:t>
            </w:r>
          </w:p>
          <w:p w14:paraId="0907BB11" w14:textId="77777777" w:rsidR="00C53241" w:rsidRPr="008F067E" w:rsidRDefault="00C53241" w:rsidP="00C53241">
            <w:pPr>
              <w:numPr>
                <w:ilvl w:val="0"/>
                <w:numId w:val="3"/>
              </w:numPr>
              <w:ind w:right="70"/>
              <w:rPr>
                <w:rFonts w:ascii="Gill Sans MT" w:hAnsi="Gill Sans MT" w:cs="Tahoma"/>
                <w:color w:val="006B2F"/>
              </w:rPr>
            </w:pPr>
            <w:r w:rsidRPr="008F067E">
              <w:rPr>
                <w:rFonts w:ascii="Gill Sans MT" w:hAnsi="Gill Sans MT" w:cs="Tahoma"/>
                <w:color w:val="006B2F"/>
              </w:rPr>
              <w:t xml:space="preserve">SAR  </w:t>
            </w:r>
          </w:p>
          <w:p w14:paraId="08A03746" w14:textId="77777777" w:rsidR="00C53241" w:rsidRPr="008F067E" w:rsidRDefault="00C53241" w:rsidP="00C53241">
            <w:pPr>
              <w:numPr>
                <w:ilvl w:val="0"/>
                <w:numId w:val="2"/>
              </w:numPr>
              <w:ind w:right="70"/>
              <w:rPr>
                <w:rFonts w:ascii="Gill Sans MT" w:hAnsi="Gill Sans MT" w:cs="Tahoma"/>
                <w:color w:val="006B2F"/>
              </w:rPr>
            </w:pPr>
            <w:r w:rsidRPr="008F067E">
              <w:rPr>
                <w:rFonts w:ascii="Gill Sans MT" w:hAnsi="Gill Sans MT" w:cs="Tahoma"/>
                <w:color w:val="006B2F"/>
              </w:rPr>
              <w:t xml:space="preserve">LCSPR (subject to approval of the National CSPR Panel). It is important to remember that there are significant differences between adults and children in regard to the decisions made and /or the next steps. </w:t>
            </w:r>
          </w:p>
          <w:p w14:paraId="05751F79" w14:textId="77777777" w:rsidR="00C53241" w:rsidRPr="008F067E" w:rsidRDefault="00C53241" w:rsidP="005B0073">
            <w:pPr>
              <w:ind w:left="720" w:right="70"/>
              <w:rPr>
                <w:rFonts w:ascii="Gill Sans MT" w:hAnsi="Gill Sans MT" w:cs="Tahoma"/>
                <w:color w:val="006B2F"/>
              </w:rPr>
            </w:pPr>
          </w:p>
          <w:p w14:paraId="79450A6B" w14:textId="77777777" w:rsidR="00C53241" w:rsidRPr="008F067E" w:rsidRDefault="00C53241" w:rsidP="005B0073">
            <w:pPr>
              <w:ind w:right="70"/>
              <w:rPr>
                <w:rFonts w:ascii="Gill Sans MT" w:hAnsi="Gill Sans MT" w:cs="Tahoma"/>
                <w:color w:val="006B2F"/>
              </w:rPr>
            </w:pPr>
            <w:r w:rsidRPr="008F067E">
              <w:rPr>
                <w:rFonts w:ascii="Gill Sans MT" w:hAnsi="Gill Sans MT" w:cs="Tahoma"/>
                <w:color w:val="006B2F"/>
              </w:rPr>
              <w:t xml:space="preserve">Information gathered during the RR may also be shared with the Community Safety Partnership (CSP) who will, in turn, consider the necessity for a Domestic Homicide Review (DHR) to be undertaken.   </w:t>
            </w:r>
          </w:p>
          <w:p w14:paraId="68ADA42E" w14:textId="77777777" w:rsidR="00C53241" w:rsidRPr="008F067E" w:rsidRDefault="00C53241" w:rsidP="005B0073">
            <w:pPr>
              <w:ind w:right="70"/>
              <w:rPr>
                <w:rFonts w:ascii="Gill Sans MT" w:hAnsi="Gill Sans MT" w:cs="Tahoma"/>
                <w:color w:val="006B2F"/>
              </w:rPr>
            </w:pPr>
          </w:p>
        </w:tc>
      </w:tr>
    </w:tbl>
    <w:p w14:paraId="1E5EB7B9" w14:textId="77777777" w:rsidR="00C53241" w:rsidRPr="008F067E" w:rsidRDefault="00C53241" w:rsidP="00C53241">
      <w:pPr>
        <w:pStyle w:val="BodyText"/>
        <w:spacing w:line="276" w:lineRule="auto"/>
        <w:ind w:right="430"/>
        <w:jc w:val="both"/>
        <w:rPr>
          <w:rFonts w:ascii="Gill Sans MT" w:hAnsi="Gill Sans MT" w:cs="Tahoma"/>
          <w:color w:val="006B2F"/>
          <w:sz w:val="20"/>
        </w:rPr>
      </w:pPr>
    </w:p>
    <w:p w14:paraId="32BB0235" w14:textId="77777777" w:rsidR="00C53241" w:rsidRPr="008F067E" w:rsidRDefault="00C53241" w:rsidP="00C53241">
      <w:pPr>
        <w:pStyle w:val="BodyText"/>
        <w:spacing w:before="6" w:line="276" w:lineRule="auto"/>
        <w:ind w:right="430"/>
        <w:jc w:val="both"/>
        <w:rPr>
          <w:rFonts w:ascii="Gill Sans MT" w:hAnsi="Gill Sans MT" w:cs="Tahoma"/>
          <w:color w:val="006B2F"/>
          <w:sz w:val="24"/>
          <w:szCs w:val="24"/>
        </w:rPr>
      </w:pPr>
      <w:r w:rsidRPr="008F067E">
        <w:rPr>
          <w:rFonts w:ascii="Gill Sans MT" w:hAnsi="Gill Sans MT" w:cs="Tahoma"/>
          <w:color w:val="006B2F"/>
        </w:rPr>
        <w:t xml:space="preserve">*    </w:t>
      </w:r>
      <w:r w:rsidRPr="008F067E">
        <w:rPr>
          <w:rFonts w:ascii="Gill Sans MT" w:hAnsi="Gill Sans MT" w:cs="Tahoma"/>
          <w:color w:val="006B2F"/>
          <w:sz w:val="24"/>
          <w:szCs w:val="24"/>
        </w:rPr>
        <w:t>Strict adherence to timescales does not apply to adult cases</w:t>
      </w:r>
    </w:p>
    <w:p w14:paraId="4B508877" w14:textId="77777777" w:rsidR="00C53241" w:rsidRPr="008F067E" w:rsidRDefault="00C53241" w:rsidP="00C53241">
      <w:pPr>
        <w:pStyle w:val="BodyText"/>
        <w:spacing w:line="276" w:lineRule="auto"/>
        <w:jc w:val="both"/>
        <w:rPr>
          <w:rFonts w:ascii="Gill Sans MT" w:hAnsi="Gill Sans MT" w:cs="Tahoma"/>
          <w:color w:val="006B2F"/>
          <w:sz w:val="28"/>
          <w:szCs w:val="28"/>
        </w:rPr>
      </w:pPr>
      <w:r w:rsidRPr="008F067E">
        <w:rPr>
          <w:rFonts w:ascii="Gill Sans MT" w:hAnsi="Gill Sans MT" w:cs="Tahoma"/>
          <w:color w:val="006B2F"/>
          <w:sz w:val="28"/>
          <w:szCs w:val="28"/>
        </w:rPr>
        <w:t xml:space="preserve">     </w:t>
      </w:r>
    </w:p>
    <w:p w14:paraId="3B4FEA00" w14:textId="6B901592" w:rsidR="00EF3EB7" w:rsidRPr="00C10708" w:rsidRDefault="00C53241" w:rsidP="00C53241">
      <w:pPr>
        <w:pStyle w:val="NoSpacing"/>
        <w:rPr>
          <w:rFonts w:cs="Arial"/>
        </w:rPr>
      </w:pPr>
      <w:r w:rsidRPr="008F067E">
        <w:rPr>
          <w:rFonts w:ascii="Gill Sans MT" w:hAnsi="Gill Sans MT" w:cs="Tahoma"/>
          <w:color w:val="006B2F"/>
          <w:sz w:val="24"/>
          <w:szCs w:val="24"/>
        </w:rPr>
        <w:t>Please note that  the pan Berks Child Death Overview Panel (</w:t>
      </w:r>
      <w:hyperlink r:id="rId8" w:history="1">
        <w:r w:rsidRPr="008F067E">
          <w:rPr>
            <w:rStyle w:val="Hyperlink"/>
            <w:rFonts w:ascii="Gill Sans MT" w:hAnsi="Gill Sans MT" w:cs="Tahoma"/>
            <w:color w:val="006B2F"/>
            <w:sz w:val="24"/>
            <w:szCs w:val="24"/>
          </w:rPr>
          <w:t>CDOP</w:t>
        </w:r>
      </w:hyperlink>
      <w:r w:rsidRPr="008F067E">
        <w:rPr>
          <w:rFonts w:ascii="Gill Sans MT" w:hAnsi="Gill Sans MT" w:cs="Tahoma"/>
          <w:color w:val="006B2F"/>
          <w:sz w:val="24"/>
          <w:szCs w:val="24"/>
        </w:rPr>
        <w:t>) and the Learning Disabilities Mortality Review Programme (</w:t>
      </w:r>
      <w:hyperlink r:id="rId9" w:history="1">
        <w:r w:rsidRPr="008F067E">
          <w:rPr>
            <w:rStyle w:val="Hyperlink"/>
            <w:rFonts w:ascii="Gill Sans MT" w:hAnsi="Gill Sans MT" w:cs="Tahoma"/>
            <w:color w:val="006B2F"/>
            <w:sz w:val="24"/>
            <w:szCs w:val="24"/>
          </w:rPr>
          <w:t>LeDeR</w:t>
        </w:r>
      </w:hyperlink>
      <w:r w:rsidRPr="008F067E">
        <w:rPr>
          <w:rFonts w:ascii="Gill Sans MT" w:hAnsi="Gill Sans MT" w:cs="Tahoma"/>
          <w:color w:val="006B2F"/>
          <w:sz w:val="24"/>
          <w:szCs w:val="24"/>
        </w:rPr>
        <w:t>) will also help provide important learning  which informs  safeguarding practices across the borough.  These processes are distinct to those relating to the Rapid Review and independently facilitate a review of cases meeting the</w:t>
      </w:r>
    </w:p>
    <w:sectPr w:rsidR="00EF3EB7" w:rsidRPr="00C10708" w:rsidSect="00C53241">
      <w:headerReference w:type="defaul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482A" w14:textId="77777777" w:rsidR="00C53241" w:rsidRDefault="00C53241" w:rsidP="00C53241">
      <w:r>
        <w:separator/>
      </w:r>
    </w:p>
  </w:endnote>
  <w:endnote w:type="continuationSeparator" w:id="0">
    <w:p w14:paraId="1749E8AB" w14:textId="77777777" w:rsidR="00C53241" w:rsidRDefault="00C53241" w:rsidP="00C5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26B6" w14:textId="77777777" w:rsidR="00C53241" w:rsidRDefault="00C53241" w:rsidP="00C53241">
      <w:r>
        <w:separator/>
      </w:r>
    </w:p>
  </w:footnote>
  <w:footnote w:type="continuationSeparator" w:id="0">
    <w:p w14:paraId="25AE2B5C" w14:textId="77777777" w:rsidR="00C53241" w:rsidRDefault="00C53241" w:rsidP="00C53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A2ED" w14:textId="6444612C" w:rsidR="00C53241" w:rsidRDefault="00C53241" w:rsidP="00C53241">
    <w:pPr>
      <w:pStyle w:val="Header"/>
      <w:jc w:val="right"/>
    </w:pPr>
    <w:r>
      <w:t>Updated July 2023</w:t>
    </w:r>
  </w:p>
  <w:p w14:paraId="0E3BEC60" w14:textId="77777777" w:rsidR="00C53241" w:rsidRDefault="00C53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01A1"/>
    <w:multiLevelType w:val="hybridMultilevel"/>
    <w:tmpl w:val="7A18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B313C"/>
    <w:multiLevelType w:val="hybridMultilevel"/>
    <w:tmpl w:val="F43EB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2554D"/>
    <w:multiLevelType w:val="hybridMultilevel"/>
    <w:tmpl w:val="8500E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E033C"/>
    <w:multiLevelType w:val="hybridMultilevel"/>
    <w:tmpl w:val="9168CB3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295181804">
    <w:abstractNumId w:val="1"/>
  </w:num>
  <w:num w:numId="2" w16cid:durableId="468278650">
    <w:abstractNumId w:val="0"/>
  </w:num>
  <w:num w:numId="3" w16cid:durableId="1636369312">
    <w:abstractNumId w:val="2"/>
  </w:num>
  <w:num w:numId="4" w16cid:durableId="1114859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41"/>
    <w:rsid w:val="0019185F"/>
    <w:rsid w:val="00237B12"/>
    <w:rsid w:val="0057555B"/>
    <w:rsid w:val="00830616"/>
    <w:rsid w:val="00C10708"/>
    <w:rsid w:val="00C53241"/>
    <w:rsid w:val="00EF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3DC562"/>
  <w15:chartTrackingRefBased/>
  <w15:docId w15:val="{B1F347F4-5C26-43AC-84AB-57B1FAE6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53241"/>
    <w:pPr>
      <w:widowControl w:val="0"/>
      <w:autoSpaceDE w:val="0"/>
      <w:autoSpaceDN w:val="0"/>
    </w:pPr>
    <w:rPr>
      <w:rFonts w:eastAsia="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paragraph" w:styleId="BodyText">
    <w:name w:val="Body Text"/>
    <w:basedOn w:val="Normal"/>
    <w:link w:val="BodyTextChar"/>
    <w:uiPriority w:val="1"/>
    <w:qFormat/>
    <w:rsid w:val="00C53241"/>
  </w:style>
  <w:style w:type="character" w:customStyle="1" w:styleId="BodyTextChar">
    <w:name w:val="Body Text Char"/>
    <w:basedOn w:val="DefaultParagraphFont"/>
    <w:link w:val="BodyText"/>
    <w:uiPriority w:val="1"/>
    <w:rsid w:val="00C53241"/>
    <w:rPr>
      <w:rFonts w:eastAsia="Arial" w:cs="Arial"/>
      <w:lang w:eastAsia="en-GB" w:bidi="en-GB"/>
    </w:rPr>
  </w:style>
  <w:style w:type="character" w:styleId="Hyperlink">
    <w:name w:val="Hyperlink"/>
    <w:uiPriority w:val="99"/>
    <w:unhideWhenUsed/>
    <w:rsid w:val="00C53241"/>
    <w:rPr>
      <w:color w:val="0000FF"/>
      <w:u w:val="single"/>
    </w:rPr>
  </w:style>
  <w:style w:type="paragraph" w:styleId="Header">
    <w:name w:val="header"/>
    <w:basedOn w:val="Normal"/>
    <w:link w:val="HeaderChar"/>
    <w:uiPriority w:val="99"/>
    <w:unhideWhenUsed/>
    <w:rsid w:val="00C53241"/>
    <w:pPr>
      <w:tabs>
        <w:tab w:val="center" w:pos="4513"/>
        <w:tab w:val="right" w:pos="9026"/>
      </w:tabs>
    </w:pPr>
  </w:style>
  <w:style w:type="character" w:customStyle="1" w:styleId="HeaderChar">
    <w:name w:val="Header Char"/>
    <w:basedOn w:val="DefaultParagraphFont"/>
    <w:link w:val="Header"/>
    <w:uiPriority w:val="99"/>
    <w:rsid w:val="00C53241"/>
    <w:rPr>
      <w:rFonts w:eastAsia="Arial" w:cs="Arial"/>
      <w:lang w:eastAsia="en-GB" w:bidi="en-GB"/>
    </w:rPr>
  </w:style>
  <w:style w:type="paragraph" w:styleId="Footer">
    <w:name w:val="footer"/>
    <w:basedOn w:val="Normal"/>
    <w:link w:val="FooterChar"/>
    <w:uiPriority w:val="99"/>
    <w:unhideWhenUsed/>
    <w:rsid w:val="00C53241"/>
    <w:pPr>
      <w:tabs>
        <w:tab w:val="center" w:pos="4513"/>
        <w:tab w:val="right" w:pos="9026"/>
      </w:tabs>
    </w:pPr>
  </w:style>
  <w:style w:type="character" w:customStyle="1" w:styleId="FooterChar">
    <w:name w:val="Footer Char"/>
    <w:basedOn w:val="DefaultParagraphFont"/>
    <w:link w:val="Footer"/>
    <w:uiPriority w:val="99"/>
    <w:rsid w:val="00C53241"/>
    <w:rPr>
      <w:rFonts w:eastAsia="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kshirewestccg.nhs.uk/cdop"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istol.ac.uk/sps/lede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C42451B54C541A64DEDF5B0382B96" ma:contentTypeVersion="7" ma:contentTypeDescription="Create a new document." ma:contentTypeScope="" ma:versionID="075c6e7b256a9c30d68bf32e5750938b">
  <xsd:schema xmlns:xsd="http://www.w3.org/2001/XMLSchema" xmlns:xs="http://www.w3.org/2001/XMLSchema" xmlns:p="http://schemas.microsoft.com/office/2006/metadata/properties" xmlns:ns2="6de2c67c-589a-42ce-afe9-1546faf4b4fa" xmlns:ns3="69391eb5-51cb-42ea-a656-8518ebca012e" xmlns:ns4="20509fb5-9776-4142-8d61-d1993944cff1" targetNamespace="http://schemas.microsoft.com/office/2006/metadata/properties" ma:root="true" ma:fieldsID="946c5e3ddc48841ce974cf23b3490318" ns2:_="" ns3:_="" ns4:_="">
    <xsd:import namespace="6de2c67c-589a-42ce-afe9-1546faf4b4fa"/>
    <xsd:import namespace="69391eb5-51cb-42ea-a656-8518ebca012e"/>
    <xsd:import namespace="20509fb5-9776-4142-8d61-d1993944cff1"/>
    <xsd:element name="properties">
      <xsd:complexType>
        <xsd:sequence>
          <xsd:element name="documentManagement">
            <xsd:complexType>
              <xsd:all>
                <xsd:element ref="ns2:PII"/>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2c67c-589a-42ce-afe9-1546faf4b4fa"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No"/>
          <xsd:enumeration value="Yes"/>
          <xsd:enumeration value="Special Category Data"/>
        </xsd:restriction>
      </xsd:simpleType>
    </xsd:element>
  </xsd:schema>
  <xsd:schema xmlns:xsd="http://www.w3.org/2001/XMLSchema" xmlns:xs="http://www.w3.org/2001/XMLSchema" xmlns:dms="http://schemas.microsoft.com/office/2006/documentManagement/types" xmlns:pc="http://schemas.microsoft.com/office/infopath/2007/PartnerControls" targetNamespace="69391eb5-51cb-42ea-a656-8518ebca012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509fb5-9776-4142-8d61-d1993944cff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I xmlns="6de2c67c-589a-42ce-afe9-1546faf4b4fa">No</PII>
  </documentManagement>
</p:properties>
</file>

<file path=customXml/itemProps1.xml><?xml version="1.0" encoding="utf-8"?>
<ds:datastoreItem xmlns:ds="http://schemas.openxmlformats.org/officeDocument/2006/customXml" ds:itemID="{D4CAF34B-348C-480B-B489-4CFD30267FBF}"/>
</file>

<file path=customXml/itemProps2.xml><?xml version="1.0" encoding="utf-8"?>
<ds:datastoreItem xmlns:ds="http://schemas.openxmlformats.org/officeDocument/2006/customXml" ds:itemID="{F0AD06C0-144A-4707-B216-2FB7CB758884}"/>
</file>

<file path=customXml/itemProps3.xml><?xml version="1.0" encoding="utf-8"?>
<ds:datastoreItem xmlns:ds="http://schemas.openxmlformats.org/officeDocument/2006/customXml" ds:itemID="{1B167508-4688-463F-B5F4-70870229CE42}"/>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Sheppard</dc:creator>
  <cp:keywords/>
  <dc:description/>
  <cp:lastModifiedBy>Julie Sheppard</cp:lastModifiedBy>
  <cp:revision>1</cp:revision>
  <dcterms:created xsi:type="dcterms:W3CDTF">2023-08-02T12:17:00Z</dcterms:created>
  <dcterms:modified xsi:type="dcterms:W3CDTF">2023-08-02T12:19:00Z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0x010100537C42451B54C541A64DEDF5B0382B96</vt:lpwstr>
  </property>
</Properties>
</file>